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微软雅黑" w:hAnsi="微软雅黑" w:eastAsia="微软雅黑"/>
          <w:sz w:val="20"/>
          <w:szCs w:val="20"/>
        </w:rPr>
      </w:pPr>
      <w:r>
        <w:rPr>
          <w:rFonts w:hint="eastAsia" w:ascii="微软雅黑" w:hAnsi="微软雅黑" w:eastAsia="微软雅黑"/>
          <w:sz w:val="20"/>
          <w:szCs w:val="20"/>
        </w:rPr>
        <w:t xml:space="preserve"> </w:t>
      </w:r>
      <w:r>
        <w:rPr>
          <w:rFonts w:ascii="微软雅黑" w:hAnsi="微软雅黑" w:eastAsia="微软雅黑"/>
          <w:sz w:val="20"/>
          <w:szCs w:val="20"/>
        </w:rPr>
        <w:t xml:space="preserve">    嘉吉公司成立于1865年，是一家集食品、农业、金融和工业产品及服务为一体的多元化跨国企业集团。业务遍及68个国家， 全球员工160，000，在华员工10000人。是美国最大的非上市企业。</w:t>
      </w:r>
    </w:p>
    <w:p>
      <w:pPr>
        <w:spacing w:line="240" w:lineRule="auto"/>
        <w:ind w:firstLine="400" w:firstLineChars="200"/>
        <w:rPr>
          <w:rFonts w:hint="eastAsia" w:ascii="微软雅黑" w:hAnsi="微软雅黑" w:eastAsia="微软雅黑"/>
          <w:sz w:val="20"/>
          <w:szCs w:val="20"/>
        </w:rPr>
      </w:pPr>
      <w:r>
        <w:rPr>
          <w:rFonts w:ascii="微软雅黑" w:hAnsi="微软雅黑" w:eastAsia="微软雅黑"/>
          <w:sz w:val="20"/>
          <w:szCs w:val="20"/>
        </w:rPr>
        <w:t xml:space="preserve">  </w:t>
      </w:r>
      <w:r>
        <w:rPr>
          <w:rFonts w:hint="eastAsia" w:ascii="微软雅黑" w:hAnsi="微软雅黑" w:eastAsia="微软雅黑"/>
          <w:color w:val="658D1B"/>
          <w:sz w:val="20"/>
          <w:szCs w:val="20"/>
        </w:rPr>
        <w:t>嘉吉</w:t>
      </w:r>
      <w:r>
        <w:rPr>
          <w:rFonts w:hint="eastAsia" w:ascii="微软雅黑" w:hAnsi="微软雅黑" w:eastAsia="微软雅黑"/>
          <w:sz w:val="20"/>
          <w:szCs w:val="20"/>
        </w:rPr>
        <w:t>是中国谷物与油籽的主要供应商和贸易加工商之一，为客户提供来自全球市场的优质谷物、油籽和油脂产品。</w:t>
      </w:r>
    </w:p>
    <w:p>
      <w:pPr>
        <w:spacing w:line="240" w:lineRule="auto"/>
        <w:rPr>
          <w:rFonts w:hint="eastAsia" w:ascii="微软雅黑" w:hAnsi="微软雅黑" w:eastAsia="微软雅黑"/>
          <w:sz w:val="20"/>
          <w:szCs w:val="20"/>
        </w:rPr>
      </w:pPr>
      <w:r>
        <w:rPr>
          <w:rFonts w:hint="eastAsia" w:ascii="微软雅黑" w:hAnsi="微软雅黑" w:eastAsia="微软雅黑"/>
          <w:color w:val="658D1B"/>
          <w:sz w:val="20"/>
          <w:szCs w:val="20"/>
        </w:rPr>
        <w:t xml:space="preserve"> </w:t>
      </w:r>
      <w:r>
        <w:rPr>
          <w:rFonts w:ascii="微软雅黑" w:hAnsi="微软雅黑" w:eastAsia="微软雅黑"/>
          <w:color w:val="658D1B"/>
          <w:sz w:val="20"/>
          <w:szCs w:val="20"/>
        </w:rPr>
        <w:t xml:space="preserve">      </w:t>
      </w:r>
      <w:r>
        <w:rPr>
          <w:rFonts w:hint="eastAsia" w:ascii="微软雅黑" w:hAnsi="微软雅黑" w:eastAsia="微软雅黑"/>
          <w:color w:val="658D1B"/>
          <w:sz w:val="20"/>
          <w:szCs w:val="20"/>
        </w:rPr>
        <w:t>嘉吉农业供应链集团</w:t>
      </w:r>
      <w:r>
        <w:rPr>
          <w:rFonts w:hint="eastAsia" w:ascii="微软雅黑" w:hAnsi="微软雅黑" w:eastAsia="微软雅黑"/>
          <w:color w:val="000000" w:themeColor="text1"/>
          <w:sz w:val="20"/>
          <w:szCs w:val="20"/>
          <w14:textFill>
            <w14:solidFill>
              <w14:schemeClr w14:val="tx1"/>
            </w14:solidFill>
          </w14:textFill>
        </w:rPr>
        <w:t>目前</w:t>
      </w:r>
      <w:r>
        <w:rPr>
          <w:rFonts w:hint="eastAsia" w:ascii="微软雅黑" w:hAnsi="微软雅黑" w:eastAsia="微软雅黑"/>
          <w:sz w:val="20"/>
          <w:szCs w:val="20"/>
        </w:rPr>
        <w:t>在中国共经营五家粮油加工厂：其中三家在广东省，一家在江苏省，一家在河北省。同时，我们在中国运营有三家全资码头：分别位于江苏省、河北省和广东省。</w:t>
      </w:r>
    </w:p>
    <w:p>
      <w:pPr>
        <w:spacing w:line="240" w:lineRule="auto"/>
        <w:rPr>
          <w:rFonts w:ascii="微软雅黑" w:hAnsi="微软雅黑" w:eastAsia="微软雅黑"/>
          <w:sz w:val="20"/>
          <w:szCs w:val="20"/>
        </w:rPr>
      </w:pPr>
      <w:r>
        <w:rPr>
          <w:rFonts w:hint="eastAsia" w:ascii="微软雅黑" w:hAnsi="微软雅黑" w:eastAsia="微软雅黑"/>
          <w:sz w:val="20"/>
          <w:szCs w:val="20"/>
        </w:rPr>
        <w:t xml:space="preserve"> </w:t>
      </w:r>
      <w:r>
        <w:rPr>
          <w:rFonts w:ascii="微软雅黑" w:hAnsi="微软雅黑" w:eastAsia="微软雅黑"/>
          <w:sz w:val="20"/>
          <w:szCs w:val="20"/>
        </w:rPr>
        <w:t xml:space="preserve">      </w:t>
      </w:r>
      <w:r>
        <w:rPr>
          <w:rFonts w:hint="eastAsia" w:ascii="微软雅黑" w:hAnsi="微软雅黑" w:eastAsia="微软雅黑"/>
          <w:sz w:val="20"/>
          <w:szCs w:val="20"/>
        </w:rPr>
        <w:t>作为嘉吉全球农产品产业链的重要组成部分，我们在华从事大宗农产品的全球采购、加工、运输和分销，涉及大豆、油菜籽、玉米、豆粕、植物油，以及非谷物饲料原料等产品。</w:t>
      </w:r>
    </w:p>
    <w:p>
      <w:pPr>
        <w:spacing w:line="240" w:lineRule="auto"/>
        <w:rPr>
          <w:rFonts w:hint="eastAsia" w:ascii="微软雅黑" w:hAnsi="微软雅黑" w:eastAsia="微软雅黑"/>
        </w:rPr>
      </w:pPr>
    </w:p>
    <w:p>
      <w:pPr>
        <w:spacing w:line="240" w:lineRule="auto"/>
        <w:rPr>
          <w:rFonts w:hint="eastAsia" w:ascii="微软雅黑" w:hAnsi="微软雅黑" w:eastAsia="微软雅黑"/>
          <w:b/>
          <w:bCs/>
          <w:color w:val="005F86"/>
          <w:sz w:val="28"/>
          <w:szCs w:val="28"/>
          <w:u w:val="single"/>
        </w:rPr>
      </w:pPr>
      <w:r>
        <w:rPr>
          <w:rFonts w:hint="eastAsia" w:ascii="微软雅黑" w:hAnsi="微软雅黑" w:eastAsia="微软雅黑"/>
          <w:b/>
          <w:bCs/>
          <w:color w:val="005F86"/>
          <w:sz w:val="28"/>
          <w:szCs w:val="28"/>
          <w:u w:val="single"/>
        </w:rPr>
        <w:t>交易/分析培训生</w:t>
      </w:r>
    </w:p>
    <w:p>
      <w:pPr>
        <w:spacing w:line="240" w:lineRule="auto"/>
        <w:rPr>
          <w:rFonts w:ascii="微软雅黑" w:hAnsi="微软雅黑" w:eastAsia="微软雅黑"/>
          <w:color w:val="005F86"/>
          <w:sz w:val="20"/>
          <w:szCs w:val="20"/>
        </w:rPr>
      </w:pPr>
      <w:r>
        <w:rPr>
          <w:rFonts w:hint="eastAsia" w:ascii="微软雅黑" w:hAnsi="微软雅黑" w:eastAsia="微软雅黑"/>
          <w:color w:val="005F86"/>
          <w:sz w:val="20"/>
          <w:szCs w:val="20"/>
        </w:rPr>
        <w:t>工作地点：上海</w:t>
      </w:r>
    </w:p>
    <w:p>
      <w:pPr>
        <w:spacing w:line="240" w:lineRule="auto"/>
        <w:rPr>
          <w:rFonts w:ascii="微软雅黑" w:hAnsi="微软雅黑" w:eastAsia="微软雅黑"/>
          <w:color w:val="005F86"/>
          <w:sz w:val="20"/>
          <w:szCs w:val="20"/>
        </w:rPr>
      </w:pPr>
      <w:r>
        <w:rPr>
          <w:rFonts w:hint="eastAsia" w:ascii="微软雅黑" w:hAnsi="微软雅黑" w:eastAsia="微软雅黑"/>
          <w:color w:val="005F86"/>
          <w:sz w:val="20"/>
          <w:szCs w:val="20"/>
        </w:rPr>
        <w:t>【培训生介绍】</w:t>
      </w:r>
      <w:r>
        <w:rPr>
          <w:rFonts w:hint="eastAsia" w:ascii="微软雅黑" w:hAnsi="微软雅黑" w:eastAsia="微软雅黑"/>
          <w:sz w:val="20"/>
          <w:szCs w:val="20"/>
        </w:rPr>
        <w:t>在交易员和分析员的指导下学习收集和分析不同农产品的关键信息并对供给需求（S&amp;</w:t>
      </w:r>
      <w:r>
        <w:rPr>
          <w:rFonts w:ascii="微软雅黑" w:hAnsi="微软雅黑" w:eastAsia="微软雅黑"/>
          <w:sz w:val="20"/>
          <w:szCs w:val="20"/>
        </w:rPr>
        <w:t>D</w:t>
      </w:r>
      <w:r>
        <w:rPr>
          <w:rFonts w:hint="eastAsia" w:ascii="微软雅黑" w:hAnsi="微软雅黑" w:eastAsia="微软雅黑"/>
          <w:sz w:val="20"/>
          <w:szCs w:val="20"/>
        </w:rPr>
        <w:t>）以及价格的影响做出判断，了解和学习大宗交易。</w:t>
      </w:r>
    </w:p>
    <w:p>
      <w:pPr>
        <w:spacing w:line="240" w:lineRule="auto"/>
        <w:rPr>
          <w:rFonts w:ascii="微软雅黑" w:hAnsi="微软雅黑" w:eastAsia="微软雅黑"/>
          <w:color w:val="005F86"/>
          <w:sz w:val="20"/>
          <w:szCs w:val="20"/>
        </w:rPr>
      </w:pPr>
      <w:r>
        <w:rPr>
          <w:rFonts w:hint="eastAsia" w:ascii="微软雅黑" w:hAnsi="微软雅黑" w:eastAsia="微软雅黑"/>
          <w:color w:val="005F86"/>
          <w:sz w:val="20"/>
          <w:szCs w:val="20"/>
        </w:rPr>
        <w:t>【未来发展方向】</w:t>
      </w:r>
    </w:p>
    <w:p>
      <w:pPr>
        <w:spacing w:line="240" w:lineRule="auto"/>
        <w:rPr>
          <w:rFonts w:ascii="微软雅黑" w:hAnsi="微软雅黑" w:eastAsia="微软雅黑"/>
          <w:sz w:val="20"/>
          <w:szCs w:val="20"/>
        </w:rPr>
      </w:pPr>
      <w:r>
        <w:rPr>
          <w:rFonts w:ascii="微软雅黑" w:hAnsi="微软雅黑" w:eastAsia="微软雅黑"/>
          <w:sz w:val="20"/>
          <w:szCs w:val="20"/>
        </w:rPr>
        <w:t xml:space="preserve">       </w:t>
      </w:r>
      <w:r>
        <w:rPr>
          <w:rFonts w:hint="eastAsia" w:ascii="微软雅黑" w:hAnsi="微软雅黑" w:eastAsia="微软雅黑"/>
          <w:sz w:val="20"/>
          <w:szCs w:val="20"/>
        </w:rPr>
        <w:t>方向一：交易员。在实体大宗市场，交易盘面或在金融市场进行交易。通过一系列交易工具实现利润最大化，并与经纪人、客户和期货交易所进行互动。</w:t>
      </w:r>
    </w:p>
    <w:p>
      <w:pPr>
        <w:spacing w:line="240" w:lineRule="auto"/>
        <w:rPr>
          <w:rFonts w:hint="eastAsia" w:ascii="微软雅黑" w:hAnsi="微软雅黑" w:eastAsia="微软雅黑"/>
          <w:sz w:val="20"/>
          <w:szCs w:val="20"/>
        </w:rPr>
      </w:pPr>
      <w:r>
        <w:rPr>
          <w:rFonts w:ascii="微软雅黑" w:hAnsi="微软雅黑" w:eastAsia="微软雅黑"/>
          <w:sz w:val="20"/>
          <w:szCs w:val="20"/>
        </w:rPr>
        <w:t xml:space="preserve">       </w:t>
      </w:r>
      <w:r>
        <w:rPr>
          <w:rFonts w:hint="eastAsia" w:ascii="微软雅黑" w:hAnsi="微软雅黑" w:eastAsia="微软雅黑"/>
          <w:sz w:val="20"/>
          <w:szCs w:val="20"/>
        </w:rPr>
        <w:t>方向二：分析员。通过全方面分析帮助优化交易决策，给交易员提供敏锐的市场意见。</w:t>
      </w:r>
    </w:p>
    <w:p>
      <w:pPr>
        <w:spacing w:line="240" w:lineRule="auto"/>
        <w:rPr>
          <w:rFonts w:hint="eastAsia" w:ascii="微软雅黑" w:hAnsi="微软雅黑" w:eastAsia="微软雅黑"/>
          <w:color w:val="005F86"/>
          <w:sz w:val="20"/>
          <w:szCs w:val="20"/>
          <w:lang w:eastAsia="zh-CN"/>
        </w:rPr>
      </w:pPr>
      <w:r>
        <w:rPr>
          <w:rFonts w:hint="eastAsia" w:ascii="微软雅黑" w:hAnsi="微软雅黑" w:eastAsia="微软雅黑"/>
          <w:color w:val="005F86"/>
          <w:sz w:val="20"/>
          <w:szCs w:val="20"/>
        </w:rPr>
        <w:t>【</w:t>
      </w:r>
      <w:r>
        <w:rPr>
          <w:rFonts w:hint="eastAsia" w:ascii="微软雅黑" w:hAnsi="微软雅黑" w:eastAsia="微软雅黑"/>
          <w:color w:val="005F86"/>
          <w:sz w:val="20"/>
          <w:szCs w:val="20"/>
          <w:lang w:eastAsia="zh-CN"/>
        </w:rPr>
        <w:t>网申地址</w:t>
      </w:r>
      <w:r>
        <w:rPr>
          <w:rFonts w:hint="eastAsia" w:ascii="微软雅黑" w:hAnsi="微软雅黑" w:eastAsia="微软雅黑"/>
          <w:color w:val="005F86"/>
          <w:sz w:val="20"/>
          <w:szCs w:val="20"/>
        </w:rPr>
        <w:t>】</w:t>
      </w:r>
      <w:r>
        <w:rPr>
          <w:rFonts w:hint="eastAsia" w:ascii="微软雅黑" w:hAnsi="微软雅黑" w:eastAsia="微软雅黑"/>
          <w:color w:val="005F86"/>
          <w:sz w:val="20"/>
          <w:szCs w:val="20"/>
          <w:lang w:val="en-US" w:eastAsia="zh-CN"/>
        </w:rPr>
        <w:t>1、</w:t>
      </w:r>
      <w:r>
        <w:rPr>
          <w:rFonts w:hint="eastAsia" w:ascii="微软雅黑" w:hAnsi="微软雅黑" w:eastAsia="微软雅黑"/>
          <w:color w:val="005F86"/>
          <w:sz w:val="20"/>
          <w:szCs w:val="20"/>
          <w:lang w:eastAsia="zh-CN"/>
        </w:rPr>
        <w:t>网申二维码</w:t>
      </w:r>
    </w:p>
    <w:p>
      <w:pPr>
        <w:spacing w:line="240" w:lineRule="auto"/>
        <w:jc w:val="center"/>
        <w:rPr>
          <w:rFonts w:hint="eastAsia" w:ascii="微软雅黑" w:hAnsi="微软雅黑" w:eastAsia="微软雅黑"/>
          <w:color w:val="005F86"/>
          <w:sz w:val="20"/>
          <w:szCs w:val="20"/>
          <w:lang w:val="en-US" w:eastAsia="zh-CN"/>
        </w:rPr>
      </w:pPr>
      <w:r>
        <w:rPr>
          <w:rFonts w:hint="eastAsia" w:ascii="微软雅黑" w:hAnsi="微软雅黑" w:eastAsia="微软雅黑"/>
          <w:color w:val="005F86"/>
          <w:sz w:val="20"/>
          <w:szCs w:val="20"/>
          <w:lang w:val="en-US" w:eastAsia="zh-CN"/>
        </w:rPr>
        <w:drawing>
          <wp:inline distT="0" distB="0" distL="114300" distR="114300">
            <wp:extent cx="2115185" cy="2115185"/>
            <wp:effectExtent l="0" t="0" r="18415" b="18415"/>
            <wp:docPr id="2" name="图片 2" descr="二维码图片_4月20日17时50分17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图片_4月20日17时50分17秒"/>
                    <pic:cNvPicPr>
                      <a:picLocks noChangeAspect="1"/>
                    </pic:cNvPicPr>
                  </pic:nvPicPr>
                  <pic:blipFill>
                    <a:blip r:embed="rId5"/>
                    <a:stretch>
                      <a:fillRect/>
                    </a:stretch>
                  </pic:blipFill>
                  <pic:spPr>
                    <a:xfrm>
                      <a:off x="0" y="0"/>
                      <a:ext cx="2115185" cy="2115185"/>
                    </a:xfrm>
                    <a:prstGeom prst="rect">
                      <a:avLst/>
                    </a:prstGeom>
                  </pic:spPr>
                </pic:pic>
              </a:graphicData>
            </a:graphic>
          </wp:inline>
        </w:drawing>
      </w:r>
    </w:p>
    <w:p>
      <w:pPr>
        <w:spacing w:line="240" w:lineRule="auto"/>
        <w:rPr>
          <w:rFonts w:hint="eastAsia" w:ascii="微软雅黑" w:hAnsi="微软雅黑" w:eastAsia="微软雅黑"/>
          <w:color w:val="005F86"/>
          <w:sz w:val="20"/>
          <w:szCs w:val="20"/>
        </w:rPr>
      </w:pPr>
      <w:bookmarkStart w:id="0" w:name="_GoBack"/>
      <w:bookmarkEnd w:id="0"/>
      <w:r>
        <w:rPr>
          <w:rFonts w:hint="eastAsia" w:ascii="微软雅黑" w:hAnsi="微软雅黑" w:eastAsia="微软雅黑"/>
          <w:color w:val="005F86"/>
          <w:sz w:val="20"/>
          <w:szCs w:val="20"/>
        </w:rPr>
        <w:t>【具体职位描述】</w:t>
      </w:r>
    </w:p>
    <w:p>
      <w:pPr>
        <w:spacing w:line="240" w:lineRule="auto"/>
        <w:rPr>
          <w:rFonts w:hint="eastAsia"/>
          <w:sz w:val="20"/>
          <w:szCs w:val="20"/>
        </w:rPr>
      </w:pPr>
      <w:r>
        <w:rPr>
          <w:color w:val="005F86"/>
          <w:sz w:val="20"/>
          <w:szCs w:val="20"/>
        </w:rPr>
        <w:t>M</w:t>
      </w:r>
      <w:r>
        <w:rPr>
          <w:rFonts w:hint="eastAsia"/>
          <w:color w:val="005F86"/>
          <w:sz w:val="20"/>
          <w:szCs w:val="20"/>
        </w:rPr>
        <w:t>ain</w:t>
      </w:r>
      <w:r>
        <w:rPr>
          <w:color w:val="005F86"/>
          <w:sz w:val="20"/>
          <w:szCs w:val="20"/>
        </w:rPr>
        <w:t xml:space="preserve"> Responsibilities</w:t>
      </w:r>
      <w:r>
        <w:rPr>
          <w:rFonts w:hint="eastAsia"/>
          <w:sz w:val="20"/>
          <w:szCs w:val="20"/>
        </w:rPr>
        <w:t>：</w:t>
      </w:r>
    </w:p>
    <w:p>
      <w:pPr>
        <w:spacing w:line="240" w:lineRule="auto"/>
        <w:rPr>
          <w:sz w:val="20"/>
          <w:szCs w:val="20"/>
        </w:rPr>
      </w:pPr>
      <w:r>
        <w:rPr>
          <w:sz w:val="20"/>
          <w:szCs w:val="20"/>
        </w:rPr>
        <w:t>60%  Supply &amp; Demand (S&amp;D) Management and Communication</w:t>
      </w:r>
    </w:p>
    <w:p>
      <w:pPr>
        <w:spacing w:line="240" w:lineRule="auto"/>
        <w:rPr>
          <w:sz w:val="20"/>
          <w:szCs w:val="20"/>
        </w:rPr>
      </w:pPr>
      <w:r>
        <w:rPr>
          <w:rFonts w:hint="eastAsia"/>
          <w:sz w:val="20"/>
          <w:szCs w:val="20"/>
        </w:rPr>
        <w:t>•</w:t>
      </w:r>
      <w:r>
        <w:rPr>
          <w:sz w:val="20"/>
          <w:szCs w:val="20"/>
        </w:rPr>
        <w:tab/>
      </w:r>
      <w:r>
        <w:rPr>
          <w:sz w:val="20"/>
          <w:szCs w:val="20"/>
        </w:rPr>
        <w:t>Gather, analyze and input key information concerning the different agricultural products into the local Chinese S&amp;D (supply and demand balance sheet);</w:t>
      </w:r>
    </w:p>
    <w:p>
      <w:pPr>
        <w:spacing w:line="240" w:lineRule="auto"/>
        <w:rPr>
          <w:sz w:val="20"/>
          <w:szCs w:val="20"/>
        </w:rPr>
      </w:pPr>
      <w:r>
        <w:rPr>
          <w:rFonts w:hint="eastAsia"/>
          <w:sz w:val="20"/>
          <w:szCs w:val="20"/>
        </w:rPr>
        <w:t>•</w:t>
      </w:r>
      <w:r>
        <w:rPr>
          <w:sz w:val="20"/>
          <w:szCs w:val="20"/>
        </w:rPr>
        <w:tab/>
      </w:r>
      <w:r>
        <w:rPr>
          <w:sz w:val="20"/>
          <w:szCs w:val="20"/>
        </w:rPr>
        <w:t>Manage and keep the local S&amp;D up to date. Discuss locally and with the different trading desks in Geneva;</w:t>
      </w:r>
    </w:p>
    <w:p>
      <w:pPr>
        <w:spacing w:line="240" w:lineRule="auto"/>
        <w:rPr>
          <w:sz w:val="20"/>
          <w:szCs w:val="20"/>
        </w:rPr>
      </w:pPr>
      <w:r>
        <w:rPr>
          <w:rFonts w:hint="eastAsia"/>
          <w:sz w:val="20"/>
          <w:szCs w:val="20"/>
        </w:rPr>
        <w:t>•</w:t>
      </w:r>
      <w:r>
        <w:rPr>
          <w:sz w:val="20"/>
          <w:szCs w:val="20"/>
        </w:rPr>
        <w:tab/>
      </w:r>
      <w:r>
        <w:rPr>
          <w:sz w:val="20"/>
          <w:szCs w:val="20"/>
        </w:rPr>
        <w:t>Make weekly S&amp;D changes report;</w:t>
      </w:r>
    </w:p>
    <w:p>
      <w:pPr>
        <w:spacing w:line="240" w:lineRule="auto"/>
        <w:rPr>
          <w:sz w:val="20"/>
          <w:szCs w:val="20"/>
        </w:rPr>
      </w:pPr>
      <w:r>
        <w:rPr>
          <w:rFonts w:hint="eastAsia"/>
          <w:sz w:val="20"/>
          <w:szCs w:val="20"/>
        </w:rPr>
        <w:t>•</w:t>
      </w:r>
      <w:r>
        <w:rPr>
          <w:sz w:val="20"/>
          <w:szCs w:val="20"/>
        </w:rPr>
        <w:tab/>
      </w:r>
      <w:r>
        <w:rPr>
          <w:sz w:val="20"/>
          <w:szCs w:val="20"/>
        </w:rPr>
        <w:t>Connect with the different merchants on feed demand, and analyze and report the impacts in the market.</w:t>
      </w:r>
    </w:p>
    <w:p>
      <w:pPr>
        <w:spacing w:line="240" w:lineRule="auto"/>
        <w:rPr>
          <w:sz w:val="20"/>
          <w:szCs w:val="20"/>
        </w:rPr>
      </w:pPr>
      <w:r>
        <w:rPr>
          <w:rFonts w:hint="eastAsia"/>
          <w:sz w:val="20"/>
          <w:szCs w:val="20"/>
        </w:rPr>
        <w:t>•</w:t>
      </w:r>
      <w:r>
        <w:rPr>
          <w:sz w:val="20"/>
          <w:szCs w:val="20"/>
        </w:rPr>
        <w:tab/>
      </w:r>
      <w:r>
        <w:rPr>
          <w:sz w:val="20"/>
          <w:szCs w:val="20"/>
        </w:rPr>
        <w:t>Communicate clearly with different trading teams in Cargill about S&amp;D.</w:t>
      </w:r>
    </w:p>
    <w:p>
      <w:pPr>
        <w:spacing w:line="240" w:lineRule="auto"/>
        <w:rPr>
          <w:sz w:val="20"/>
          <w:szCs w:val="20"/>
        </w:rPr>
      </w:pPr>
      <w:r>
        <w:rPr>
          <w:sz w:val="20"/>
          <w:szCs w:val="20"/>
        </w:rPr>
        <w:t>40%  Price/quant analysis</w:t>
      </w:r>
    </w:p>
    <w:p>
      <w:pPr>
        <w:spacing w:line="240" w:lineRule="auto"/>
        <w:rPr>
          <w:sz w:val="20"/>
          <w:szCs w:val="20"/>
        </w:rPr>
      </w:pPr>
      <w:r>
        <w:rPr>
          <w:rFonts w:hint="eastAsia"/>
          <w:sz w:val="20"/>
          <w:szCs w:val="20"/>
        </w:rPr>
        <w:t>•</w:t>
      </w:r>
      <w:r>
        <w:rPr>
          <w:sz w:val="20"/>
          <w:szCs w:val="20"/>
        </w:rPr>
        <w:tab/>
      </w:r>
      <w:r>
        <w:rPr>
          <w:sz w:val="20"/>
          <w:szCs w:val="20"/>
        </w:rPr>
        <w:t>Monitor the different agricultural products’ prices in key locations, including Northeast origination areas, Dalian, Shandong, YRB, Fujian and Guangdong;</w:t>
      </w:r>
    </w:p>
    <w:p>
      <w:pPr>
        <w:spacing w:line="240" w:lineRule="auto"/>
        <w:rPr>
          <w:sz w:val="20"/>
          <w:szCs w:val="20"/>
        </w:rPr>
      </w:pPr>
      <w:r>
        <w:rPr>
          <w:rFonts w:hint="eastAsia"/>
          <w:sz w:val="20"/>
          <w:szCs w:val="20"/>
        </w:rPr>
        <w:t>•</w:t>
      </w:r>
      <w:r>
        <w:rPr>
          <w:sz w:val="20"/>
          <w:szCs w:val="20"/>
        </w:rPr>
        <w:tab/>
      </w:r>
      <w:r>
        <w:rPr>
          <w:sz w:val="20"/>
          <w:szCs w:val="20"/>
        </w:rPr>
        <w:t>Maintain &amp; analyze daily cash prices and correlate them with DCE futures prices and world prices;</w:t>
      </w:r>
    </w:p>
    <w:p>
      <w:pPr>
        <w:spacing w:line="240" w:lineRule="auto"/>
        <w:rPr>
          <w:sz w:val="20"/>
          <w:szCs w:val="20"/>
        </w:rPr>
      </w:pPr>
      <w:r>
        <w:rPr>
          <w:rFonts w:hint="eastAsia"/>
          <w:sz w:val="20"/>
          <w:szCs w:val="20"/>
        </w:rPr>
        <w:t>•</w:t>
      </w:r>
      <w:r>
        <w:rPr>
          <w:sz w:val="20"/>
          <w:szCs w:val="20"/>
        </w:rPr>
        <w:tab/>
      </w:r>
      <w:r>
        <w:rPr>
          <w:sz w:val="20"/>
          <w:szCs w:val="20"/>
        </w:rPr>
        <w:t>Report price changes in the various regions, more specifically on how price changes affect import and export economics.</w:t>
      </w:r>
    </w:p>
    <w:p>
      <w:pPr>
        <w:spacing w:line="240" w:lineRule="auto"/>
        <w:rPr>
          <w:sz w:val="20"/>
          <w:szCs w:val="20"/>
        </w:rPr>
      </w:pPr>
    </w:p>
    <w:p>
      <w:pPr>
        <w:spacing w:line="240" w:lineRule="auto"/>
        <w:rPr>
          <w:rFonts w:hint="eastAsia"/>
          <w:sz w:val="20"/>
          <w:szCs w:val="20"/>
        </w:rPr>
      </w:pPr>
      <w:r>
        <w:rPr>
          <w:color w:val="005F86"/>
          <w:sz w:val="20"/>
          <w:szCs w:val="20"/>
        </w:rPr>
        <w:t>Position Requirements</w:t>
      </w:r>
      <w:r>
        <w:rPr>
          <w:rFonts w:hint="eastAsia"/>
          <w:sz w:val="20"/>
          <w:szCs w:val="20"/>
        </w:rPr>
        <w:t>：</w:t>
      </w:r>
    </w:p>
    <w:p>
      <w:pPr>
        <w:spacing w:line="240" w:lineRule="auto"/>
        <w:rPr>
          <w:sz w:val="20"/>
          <w:szCs w:val="20"/>
        </w:rPr>
      </w:pPr>
      <w:r>
        <w:rPr>
          <w:rFonts w:hint="eastAsia"/>
          <w:sz w:val="20"/>
          <w:szCs w:val="20"/>
        </w:rPr>
        <w:t>•</w:t>
      </w:r>
      <w:r>
        <w:rPr>
          <w:sz w:val="20"/>
          <w:szCs w:val="20"/>
        </w:rPr>
        <w:tab/>
      </w:r>
      <w:r>
        <w:rPr>
          <w:sz w:val="20"/>
          <w:szCs w:val="20"/>
        </w:rPr>
        <w:t>Bachelor and above</w:t>
      </w:r>
    </w:p>
    <w:p>
      <w:pPr>
        <w:spacing w:line="240" w:lineRule="auto"/>
        <w:rPr>
          <w:sz w:val="20"/>
          <w:szCs w:val="20"/>
        </w:rPr>
      </w:pPr>
      <w:r>
        <w:rPr>
          <w:rFonts w:hint="eastAsia"/>
          <w:sz w:val="20"/>
          <w:szCs w:val="20"/>
        </w:rPr>
        <w:t>•</w:t>
      </w:r>
      <w:r>
        <w:rPr>
          <w:sz w:val="20"/>
          <w:szCs w:val="20"/>
        </w:rPr>
        <w:tab/>
      </w:r>
      <w:r>
        <w:rPr>
          <w:sz w:val="20"/>
          <w:szCs w:val="20"/>
        </w:rPr>
        <w:t>University undergraduates who have the passion to learn &amp; grow with the organization through on job practice;</w:t>
      </w:r>
    </w:p>
    <w:p>
      <w:pPr>
        <w:spacing w:line="240" w:lineRule="auto"/>
        <w:rPr>
          <w:sz w:val="20"/>
          <w:szCs w:val="20"/>
        </w:rPr>
      </w:pPr>
      <w:r>
        <w:rPr>
          <w:rFonts w:hint="eastAsia"/>
          <w:sz w:val="20"/>
          <w:szCs w:val="20"/>
        </w:rPr>
        <w:t>•</w:t>
      </w:r>
      <w:r>
        <w:rPr>
          <w:sz w:val="20"/>
          <w:szCs w:val="20"/>
        </w:rPr>
        <w:tab/>
      </w:r>
      <w:r>
        <w:rPr>
          <w:sz w:val="20"/>
          <w:szCs w:val="20"/>
        </w:rPr>
        <w:t>Strong analytical skills and commercial sense;</w:t>
      </w:r>
    </w:p>
    <w:p>
      <w:pPr>
        <w:spacing w:line="240" w:lineRule="auto"/>
        <w:rPr>
          <w:sz w:val="20"/>
          <w:szCs w:val="20"/>
        </w:rPr>
      </w:pPr>
      <w:r>
        <w:rPr>
          <w:rFonts w:hint="eastAsia"/>
          <w:sz w:val="20"/>
          <w:szCs w:val="20"/>
        </w:rPr>
        <w:t>•</w:t>
      </w:r>
      <w:r>
        <w:rPr>
          <w:sz w:val="20"/>
          <w:szCs w:val="20"/>
        </w:rPr>
        <w:tab/>
      </w:r>
      <w:r>
        <w:rPr>
          <w:sz w:val="20"/>
          <w:szCs w:val="20"/>
        </w:rPr>
        <w:t>Proven numerical agility;</w:t>
      </w:r>
    </w:p>
    <w:p>
      <w:pPr>
        <w:spacing w:line="240" w:lineRule="auto"/>
        <w:rPr>
          <w:sz w:val="20"/>
          <w:szCs w:val="20"/>
        </w:rPr>
      </w:pPr>
      <w:r>
        <w:rPr>
          <w:rFonts w:hint="eastAsia"/>
          <w:sz w:val="20"/>
          <w:szCs w:val="20"/>
        </w:rPr>
        <w:t>•</w:t>
      </w:r>
      <w:r>
        <w:rPr>
          <w:sz w:val="20"/>
          <w:szCs w:val="20"/>
        </w:rPr>
        <w:tab/>
      </w:r>
      <w:r>
        <w:rPr>
          <w:sz w:val="20"/>
          <w:szCs w:val="20"/>
        </w:rPr>
        <w:t>Good communication and interpersonal relationship skills;</w:t>
      </w:r>
    </w:p>
    <w:p>
      <w:pPr>
        <w:spacing w:line="240" w:lineRule="auto"/>
        <w:rPr>
          <w:sz w:val="20"/>
          <w:szCs w:val="20"/>
        </w:rPr>
      </w:pPr>
      <w:r>
        <w:rPr>
          <w:rFonts w:hint="eastAsia"/>
          <w:sz w:val="20"/>
          <w:szCs w:val="20"/>
        </w:rPr>
        <w:t>•</w:t>
      </w:r>
      <w:r>
        <w:rPr>
          <w:sz w:val="20"/>
          <w:szCs w:val="20"/>
        </w:rPr>
        <w:tab/>
      </w:r>
      <w:r>
        <w:rPr>
          <w:sz w:val="20"/>
          <w:szCs w:val="20"/>
        </w:rPr>
        <w:t>Willing to step forward with new ideas and challenge status quo;</w:t>
      </w:r>
    </w:p>
    <w:p>
      <w:pPr>
        <w:spacing w:line="240" w:lineRule="auto"/>
        <w:rPr>
          <w:sz w:val="20"/>
          <w:szCs w:val="20"/>
        </w:rPr>
      </w:pPr>
      <w:r>
        <w:rPr>
          <w:rFonts w:hint="eastAsia"/>
          <w:sz w:val="20"/>
          <w:szCs w:val="20"/>
        </w:rPr>
        <w:t>•</w:t>
      </w:r>
      <w:r>
        <w:rPr>
          <w:sz w:val="20"/>
          <w:szCs w:val="20"/>
        </w:rPr>
        <w:tab/>
      </w:r>
      <w:r>
        <w:rPr>
          <w:sz w:val="20"/>
          <w:szCs w:val="20"/>
        </w:rPr>
        <w:t>Acting with conviction and integrity;</w:t>
      </w:r>
    </w:p>
    <w:p>
      <w:pPr>
        <w:spacing w:line="240" w:lineRule="auto"/>
        <w:rPr>
          <w:sz w:val="20"/>
          <w:szCs w:val="20"/>
        </w:rPr>
      </w:pPr>
      <w:r>
        <w:rPr>
          <w:rFonts w:hint="eastAsia"/>
          <w:sz w:val="20"/>
          <w:szCs w:val="20"/>
        </w:rPr>
        <w:t>•</w:t>
      </w:r>
      <w:r>
        <w:rPr>
          <w:sz w:val="20"/>
          <w:szCs w:val="20"/>
        </w:rPr>
        <w:tab/>
      </w:r>
      <w:r>
        <w:rPr>
          <w:sz w:val="20"/>
          <w:szCs w:val="20"/>
        </w:rPr>
        <w:t>Result oriented and accountable</w:t>
      </w:r>
    </w:p>
    <w:p>
      <w:pPr>
        <w:spacing w:line="240" w:lineRule="auto"/>
        <w:rPr>
          <w:sz w:val="20"/>
          <w:szCs w:val="20"/>
        </w:rPr>
      </w:pPr>
      <w:r>
        <w:rPr>
          <w:rFonts w:hint="eastAsia"/>
          <w:sz w:val="20"/>
          <w:szCs w:val="20"/>
        </w:rPr>
        <w:t>•</w:t>
      </w:r>
      <w:r>
        <w:rPr>
          <w:sz w:val="20"/>
          <w:szCs w:val="20"/>
        </w:rPr>
        <w:tab/>
      </w:r>
      <w:r>
        <w:rPr>
          <w:sz w:val="20"/>
          <w:szCs w:val="20"/>
        </w:rPr>
        <w:t>Fluent in both Mandarin and English, written and verbal.</w:t>
      </w:r>
    </w:p>
    <w:sectPr>
      <w:headerReference r:id="rId3" w:type="default"/>
      <w:pgSz w:w="12240" w:h="15840"/>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8240" behindDoc="0" locked="0" layoutInCell="1" allowOverlap="1">
          <wp:simplePos x="0" y="0"/>
          <wp:positionH relativeFrom="margin">
            <wp:posOffset>12700</wp:posOffset>
          </wp:positionH>
          <wp:positionV relativeFrom="paragraph">
            <wp:posOffset>-220980</wp:posOffset>
          </wp:positionV>
          <wp:extent cx="558800" cy="335915"/>
          <wp:effectExtent l="0" t="0" r="0" b="6985"/>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8800" cy="3359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FE"/>
    <w:rsid w:val="001548FE"/>
    <w:rsid w:val="00365913"/>
    <w:rsid w:val="004330C9"/>
    <w:rsid w:val="009462C1"/>
    <w:rsid w:val="00F81315"/>
    <w:rsid w:val="0D632650"/>
    <w:rsid w:val="40A65316"/>
    <w:rsid w:val="550954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320"/>
        <w:tab w:val="right" w:pos="8640"/>
      </w:tabs>
      <w:spacing w:after="0" w:line="240" w:lineRule="auto"/>
    </w:pPr>
  </w:style>
  <w:style w:type="paragraph" w:styleId="3">
    <w:name w:val="header"/>
    <w:basedOn w:val="1"/>
    <w:link w:val="6"/>
    <w:unhideWhenUsed/>
    <w:qFormat/>
    <w:uiPriority w:val="99"/>
    <w:pPr>
      <w:tabs>
        <w:tab w:val="center" w:pos="4320"/>
        <w:tab w:val="right" w:pos="8640"/>
      </w:tabs>
      <w:spacing w:after="0" w:line="240" w:lineRule="auto"/>
    </w:pPr>
  </w:style>
  <w:style w:type="character" w:customStyle="1" w:styleId="6">
    <w:name w:val="Header Char"/>
    <w:basedOn w:val="5"/>
    <w:link w:val="3"/>
    <w:qFormat/>
    <w:uiPriority w:val="99"/>
  </w:style>
  <w:style w:type="character" w:customStyle="1" w:styleId="7">
    <w:name w:val="Footer Char"/>
    <w:basedOn w:val="5"/>
    <w:link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1626</Characters>
  <Lines>13</Lines>
  <Paragraphs>3</Paragraphs>
  <TotalTime>4</TotalTime>
  <ScaleCrop>false</ScaleCrop>
  <LinksUpToDate>false</LinksUpToDate>
  <CharactersWithSpaces>1908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2020-04-20T07:50:00Z</dcterms:created>
  <dc:creator>Lulu Zheng</dc:creator>
  <cp:lastModifiedBy>WALRE猎头严敏慧West</cp:lastModifiedBy>
  <dcterms:modified xsi:type="dcterms:W3CDTF">2020-04-28T08:41:12Z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